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57" w:rsidRDefault="00193057" w:rsidP="00193057">
      <w:pPr>
        <w:tabs>
          <w:tab w:val="left" w:pos="4962"/>
        </w:tabs>
        <w:jc w:val="center"/>
        <w:rPr>
          <w:sz w:val="28"/>
          <w:lang w:val="en-US"/>
        </w:rPr>
      </w:pPr>
    </w:p>
    <w:p w:rsidR="00E34E94" w:rsidRDefault="00E34E94" w:rsidP="0042487E">
      <w:pPr>
        <w:pStyle w:val="4"/>
        <w:keepLines/>
        <w:rPr>
          <w:szCs w:val="28"/>
        </w:rPr>
      </w:pPr>
    </w:p>
    <w:p w:rsidR="00F7689E" w:rsidRDefault="00507F4E" w:rsidP="00F7689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Потребление электроэнергии</w:t>
      </w:r>
      <w:r w:rsidR="00F7689E">
        <w:rPr>
          <w:b/>
          <w:sz w:val="28"/>
        </w:rPr>
        <w:t xml:space="preserve"> </w:t>
      </w:r>
      <w:r w:rsidR="00DD5E60">
        <w:rPr>
          <w:b/>
          <w:sz w:val="28"/>
        </w:rPr>
        <w:t>в Ульяновской области</w:t>
      </w:r>
    </w:p>
    <w:p w:rsidR="00291AFE" w:rsidRDefault="00291AFE" w:rsidP="00F7689E">
      <w:pPr>
        <w:spacing w:line="240" w:lineRule="atLeast"/>
        <w:jc w:val="center"/>
        <w:rPr>
          <w:b/>
          <w:sz w:val="28"/>
        </w:rPr>
      </w:pPr>
    </w:p>
    <w:p w:rsidR="00F7689E" w:rsidRDefault="00F7689E" w:rsidP="00F7689E">
      <w:pPr>
        <w:pStyle w:val="ad"/>
        <w:ind w:left="284" w:firstLine="720"/>
        <w:jc w:val="right"/>
        <w:rPr>
          <w:sz w:val="24"/>
        </w:rPr>
      </w:pPr>
      <w:r>
        <w:rPr>
          <w:sz w:val="24"/>
        </w:rPr>
        <w:t>млн. кВт час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9"/>
        <w:gridCol w:w="2002"/>
        <w:gridCol w:w="2002"/>
      </w:tblGrid>
      <w:tr w:rsidR="00FC0B46" w:rsidTr="006A52D2">
        <w:trPr>
          <w:tblHeader/>
        </w:trPr>
        <w:tc>
          <w:tcPr>
            <w:tcW w:w="2968" w:type="pct"/>
            <w:vAlign w:val="center"/>
          </w:tcPr>
          <w:p w:rsidR="00FC0B46" w:rsidRDefault="00FC0B46" w:rsidP="00A64DBB">
            <w:pPr>
              <w:rPr>
                <w:sz w:val="28"/>
              </w:rPr>
            </w:pPr>
          </w:p>
        </w:tc>
        <w:tc>
          <w:tcPr>
            <w:tcW w:w="1016" w:type="pct"/>
            <w:vAlign w:val="center"/>
          </w:tcPr>
          <w:p w:rsidR="00FC0B46" w:rsidRPr="00DD5E60" w:rsidRDefault="00FC0B46" w:rsidP="00771DC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16" w:type="pct"/>
            <w:vAlign w:val="center"/>
          </w:tcPr>
          <w:p w:rsidR="00FC0B46" w:rsidRPr="00DD5E60" w:rsidRDefault="00FC0B46" w:rsidP="00A97DF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rPr>
                <w:b/>
              </w:rPr>
            </w:pPr>
            <w:r>
              <w:rPr>
                <w:b/>
              </w:rPr>
              <w:t>Потреблено всего по области</w:t>
            </w:r>
          </w:p>
        </w:tc>
        <w:tc>
          <w:tcPr>
            <w:tcW w:w="1016" w:type="pct"/>
            <w:vAlign w:val="bottom"/>
          </w:tcPr>
          <w:p w:rsidR="00FC0B46" w:rsidRPr="004B42A8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5606,2</w:t>
            </w:r>
          </w:p>
        </w:tc>
        <w:tc>
          <w:tcPr>
            <w:tcW w:w="1016" w:type="pct"/>
            <w:vAlign w:val="bottom"/>
          </w:tcPr>
          <w:p w:rsidR="00FC0B46" w:rsidRPr="00604090" w:rsidRDefault="00604090" w:rsidP="00604090">
            <w:pPr>
              <w:tabs>
                <w:tab w:val="decimal" w:pos="88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5621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5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709"/>
            </w:pPr>
            <w:r>
              <w:t>в том числе по видам экономической деятельности:</w:t>
            </w:r>
          </w:p>
        </w:tc>
        <w:tc>
          <w:tcPr>
            <w:tcW w:w="1016" w:type="pct"/>
            <w:vAlign w:val="bottom"/>
          </w:tcPr>
          <w:p w:rsidR="00FC0B46" w:rsidRDefault="00FC0B46" w:rsidP="00771DC2">
            <w:pPr>
              <w:tabs>
                <w:tab w:val="decimal" w:pos="885"/>
              </w:tabs>
              <w:jc w:val="center"/>
            </w:pPr>
          </w:p>
        </w:tc>
        <w:tc>
          <w:tcPr>
            <w:tcW w:w="1016" w:type="pct"/>
            <w:vAlign w:val="bottom"/>
          </w:tcPr>
          <w:p w:rsidR="00FC0B46" w:rsidRDefault="00FC0B46" w:rsidP="00A64DBB">
            <w:pPr>
              <w:tabs>
                <w:tab w:val="decimal" w:pos="885"/>
              </w:tabs>
            </w:pP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>потери в электросетях общего пользования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444,3</w:t>
            </w:r>
          </w:p>
        </w:tc>
        <w:tc>
          <w:tcPr>
            <w:tcW w:w="1016" w:type="pct"/>
            <w:vAlign w:val="bottom"/>
          </w:tcPr>
          <w:p w:rsidR="00FC0B46" w:rsidRPr="00604090" w:rsidRDefault="00604090" w:rsidP="00604090">
            <w:pPr>
              <w:tabs>
                <w:tab w:val="decimal" w:pos="88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447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>сельское хозяйство, лесное хозяйство, охота, рыболовство и рыбоводство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</w:tc>
        <w:tc>
          <w:tcPr>
            <w:tcW w:w="1016" w:type="pct"/>
            <w:vAlign w:val="bottom"/>
          </w:tcPr>
          <w:p w:rsidR="00FC0B46" w:rsidRPr="00604090" w:rsidRDefault="00604090" w:rsidP="00604090">
            <w:pPr>
              <w:tabs>
                <w:tab w:val="decimal" w:pos="88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426" w:hanging="284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140,5</w:t>
            </w:r>
          </w:p>
        </w:tc>
        <w:tc>
          <w:tcPr>
            <w:tcW w:w="1016" w:type="pct"/>
            <w:vAlign w:val="bottom"/>
          </w:tcPr>
          <w:p w:rsidR="00FC0B46" w:rsidRPr="00604090" w:rsidRDefault="00604090" w:rsidP="00604090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  <w:lang w:val="en-US"/>
              </w:rPr>
              <w:t>140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1043,6</w:t>
            </w:r>
          </w:p>
        </w:tc>
        <w:tc>
          <w:tcPr>
            <w:tcW w:w="1016" w:type="pct"/>
            <w:vAlign w:val="bottom"/>
          </w:tcPr>
          <w:p w:rsidR="00FC0B46" w:rsidRPr="00542B32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970,5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93790D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6" w:type="pct"/>
            <w:vAlign w:val="bottom"/>
          </w:tcPr>
          <w:p w:rsidR="00FC0B46" w:rsidRPr="002511D4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568,2</w:t>
            </w:r>
          </w:p>
        </w:tc>
        <w:tc>
          <w:tcPr>
            <w:tcW w:w="1016" w:type="pct"/>
            <w:vAlign w:val="bottom"/>
          </w:tcPr>
          <w:p w:rsidR="00FC0B46" w:rsidRPr="002511D4" w:rsidRDefault="00604090" w:rsidP="000C4171">
            <w:pPr>
              <w:tabs>
                <w:tab w:val="decimal" w:pos="885"/>
              </w:tabs>
              <w:jc w:val="both"/>
              <w:rPr>
                <w:b/>
              </w:rPr>
            </w:pPr>
            <w:r>
              <w:rPr>
                <w:b/>
              </w:rPr>
              <w:t>559,6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93790D">
            <w:pPr>
              <w:spacing w:after="120"/>
              <w:ind w:left="142"/>
              <w:rPr>
                <w:b/>
              </w:rPr>
            </w:pPr>
            <w:r w:rsidRPr="00487B45">
              <w:rPr>
                <w:b/>
              </w:rPr>
              <w:t xml:space="preserve">водоснабжение; водоотведение, организация сбора и </w:t>
            </w:r>
            <w:r>
              <w:rPr>
                <w:b/>
              </w:rPr>
              <w:t>утилизации отходов, деятельность по ликвидации загрязнений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  <w:tc>
          <w:tcPr>
            <w:tcW w:w="1016" w:type="pct"/>
            <w:vAlign w:val="bottom"/>
          </w:tcPr>
          <w:p w:rsidR="00FC0B46" w:rsidRPr="00542B32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426" w:hanging="28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1016" w:type="pct"/>
            <w:vAlign w:val="bottom"/>
          </w:tcPr>
          <w:p w:rsidR="00FC0B46" w:rsidRPr="00542B32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FC0B46" w:rsidTr="006A52D2">
        <w:tc>
          <w:tcPr>
            <w:tcW w:w="2968" w:type="pct"/>
          </w:tcPr>
          <w:p w:rsidR="00FC0B46" w:rsidRPr="008911F8" w:rsidRDefault="00FC0B46" w:rsidP="0093790D">
            <w:pPr>
              <w:spacing w:after="120"/>
              <w:ind w:left="142"/>
              <w:rPr>
                <w:b/>
              </w:rPr>
            </w:pPr>
            <w:r w:rsidRPr="00FE09FD">
              <w:rPr>
                <w:b/>
              </w:rPr>
              <w:t xml:space="preserve">торговля оптовая и розничная; </w:t>
            </w:r>
            <w:r>
              <w:rPr>
                <w:b/>
              </w:rPr>
              <w:t>ремонт автотранспортных средств и мотоциклов</w:t>
            </w:r>
          </w:p>
        </w:tc>
        <w:tc>
          <w:tcPr>
            <w:tcW w:w="1016" w:type="pct"/>
            <w:vAlign w:val="bottom"/>
          </w:tcPr>
          <w:p w:rsidR="00FC0B46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  <w:tc>
          <w:tcPr>
            <w:tcW w:w="1016" w:type="pct"/>
            <w:vAlign w:val="bottom"/>
          </w:tcPr>
          <w:p w:rsidR="00FC0B46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166,0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93790D">
            <w:pPr>
              <w:spacing w:after="120"/>
              <w:ind w:left="426" w:hanging="284"/>
              <w:rPr>
                <w:b/>
              </w:rPr>
            </w:pPr>
            <w:r>
              <w:rPr>
                <w:b/>
              </w:rPr>
              <w:t xml:space="preserve">транспортировка и хранение </w:t>
            </w:r>
          </w:p>
        </w:tc>
        <w:tc>
          <w:tcPr>
            <w:tcW w:w="1016" w:type="pct"/>
            <w:vAlign w:val="bottom"/>
          </w:tcPr>
          <w:p w:rsidR="00FC0B46" w:rsidRPr="00542B32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933,3</w:t>
            </w:r>
          </w:p>
        </w:tc>
        <w:tc>
          <w:tcPr>
            <w:tcW w:w="1016" w:type="pct"/>
            <w:vAlign w:val="bottom"/>
          </w:tcPr>
          <w:p w:rsidR="00FC0B46" w:rsidRPr="00542B32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928,3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016" w:type="pct"/>
            <w:vAlign w:val="bottom"/>
          </w:tcPr>
          <w:p w:rsidR="00FC0B46" w:rsidRPr="00B57DAC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016" w:type="pct"/>
            <w:vAlign w:val="bottom"/>
          </w:tcPr>
          <w:p w:rsidR="00FC0B46" w:rsidRPr="00B57DAC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FC0B46" w:rsidTr="006A52D2">
        <w:tc>
          <w:tcPr>
            <w:tcW w:w="2968" w:type="pct"/>
          </w:tcPr>
          <w:p w:rsidR="00FC0B46" w:rsidRPr="0093790D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>прочие виды экономической деятельности</w:t>
            </w:r>
          </w:p>
        </w:tc>
        <w:tc>
          <w:tcPr>
            <w:tcW w:w="1016" w:type="pct"/>
            <w:vAlign w:val="bottom"/>
          </w:tcPr>
          <w:p w:rsidR="00FC0B46" w:rsidRPr="00B57DAC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747,3</w:t>
            </w:r>
          </w:p>
        </w:tc>
        <w:tc>
          <w:tcPr>
            <w:tcW w:w="1016" w:type="pct"/>
            <w:vAlign w:val="bottom"/>
          </w:tcPr>
          <w:p w:rsidR="00FC0B46" w:rsidRPr="00B57DAC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822,0</w:t>
            </w:r>
          </w:p>
        </w:tc>
      </w:tr>
      <w:tr w:rsidR="00FC0B46" w:rsidTr="006A52D2">
        <w:tc>
          <w:tcPr>
            <w:tcW w:w="2968" w:type="pct"/>
          </w:tcPr>
          <w:p w:rsidR="00FC0B46" w:rsidRDefault="00FC0B46" w:rsidP="00A64DBB">
            <w:pPr>
              <w:spacing w:after="120"/>
              <w:ind w:left="142"/>
              <w:rPr>
                <w:b/>
              </w:rPr>
            </w:pPr>
            <w:r>
              <w:rPr>
                <w:b/>
              </w:rPr>
              <w:t xml:space="preserve">потреблено населением </w:t>
            </w:r>
          </w:p>
        </w:tc>
        <w:tc>
          <w:tcPr>
            <w:tcW w:w="1016" w:type="pct"/>
            <w:vAlign w:val="bottom"/>
          </w:tcPr>
          <w:p w:rsidR="00FC0B46" w:rsidRPr="00B57DAC" w:rsidRDefault="00FC0B46" w:rsidP="00771DC2">
            <w:pPr>
              <w:tabs>
                <w:tab w:val="decimal" w:pos="885"/>
              </w:tabs>
              <w:jc w:val="center"/>
              <w:rPr>
                <w:b/>
              </w:rPr>
            </w:pPr>
            <w:r>
              <w:rPr>
                <w:b/>
              </w:rPr>
              <w:t>1292,9</w:t>
            </w:r>
          </w:p>
        </w:tc>
        <w:tc>
          <w:tcPr>
            <w:tcW w:w="1016" w:type="pct"/>
            <w:vAlign w:val="bottom"/>
          </w:tcPr>
          <w:p w:rsidR="00FC0B46" w:rsidRPr="00B57DAC" w:rsidRDefault="00604090" w:rsidP="000C4171">
            <w:pPr>
              <w:tabs>
                <w:tab w:val="decimal" w:pos="885"/>
              </w:tabs>
              <w:rPr>
                <w:b/>
              </w:rPr>
            </w:pPr>
            <w:r>
              <w:rPr>
                <w:b/>
              </w:rPr>
              <w:t>1315,8</w:t>
            </w:r>
            <w:bookmarkStart w:id="0" w:name="_GoBack"/>
            <w:bookmarkEnd w:id="0"/>
          </w:p>
        </w:tc>
      </w:tr>
    </w:tbl>
    <w:p w:rsidR="00F7689E" w:rsidRDefault="00F7689E" w:rsidP="00F7689E">
      <w:pPr>
        <w:jc w:val="both"/>
        <w:rPr>
          <w:sz w:val="28"/>
        </w:rPr>
      </w:pPr>
    </w:p>
    <w:p w:rsidR="00564B72" w:rsidRDefault="00564B72" w:rsidP="00291AFE">
      <w:pPr>
        <w:ind w:left="-142"/>
        <w:rPr>
          <w:sz w:val="28"/>
          <w:szCs w:val="28"/>
        </w:rPr>
      </w:pPr>
    </w:p>
    <w:p w:rsidR="00AF1F5C" w:rsidRDefault="00AF1F5C" w:rsidP="00885DCC">
      <w:pPr>
        <w:tabs>
          <w:tab w:val="left" w:pos="4962"/>
        </w:tabs>
        <w:spacing w:before="120"/>
        <w:rPr>
          <w:sz w:val="16"/>
        </w:rPr>
      </w:pPr>
    </w:p>
    <w:p w:rsidR="007D052C" w:rsidRDefault="007D052C" w:rsidP="00885DCC">
      <w:pPr>
        <w:tabs>
          <w:tab w:val="left" w:pos="4962"/>
        </w:tabs>
        <w:spacing w:before="120"/>
        <w:rPr>
          <w:sz w:val="16"/>
        </w:rPr>
      </w:pPr>
    </w:p>
    <w:p w:rsidR="007D052C" w:rsidRDefault="007D052C" w:rsidP="00885DCC">
      <w:pPr>
        <w:tabs>
          <w:tab w:val="left" w:pos="4962"/>
        </w:tabs>
        <w:spacing w:before="120"/>
        <w:rPr>
          <w:sz w:val="16"/>
        </w:rPr>
      </w:pPr>
    </w:p>
    <w:p w:rsidR="007D052C" w:rsidRDefault="007D052C" w:rsidP="00885DCC">
      <w:pPr>
        <w:tabs>
          <w:tab w:val="left" w:pos="4962"/>
        </w:tabs>
        <w:spacing w:before="120"/>
        <w:rPr>
          <w:sz w:val="16"/>
        </w:rPr>
      </w:pPr>
    </w:p>
    <w:p w:rsidR="00E34E94" w:rsidRPr="00E212E5" w:rsidRDefault="00E34E94" w:rsidP="00885DCC">
      <w:pPr>
        <w:tabs>
          <w:tab w:val="left" w:pos="4962"/>
        </w:tabs>
        <w:spacing w:before="120"/>
        <w:rPr>
          <w:sz w:val="16"/>
        </w:rPr>
      </w:pPr>
    </w:p>
    <w:p w:rsidR="00E34E94" w:rsidRDefault="00E34E94" w:rsidP="00885DCC">
      <w:pPr>
        <w:tabs>
          <w:tab w:val="left" w:pos="4962"/>
        </w:tabs>
        <w:spacing w:before="120"/>
        <w:rPr>
          <w:sz w:val="16"/>
        </w:rPr>
      </w:pPr>
    </w:p>
    <w:p w:rsidR="00E34E94" w:rsidRDefault="00E34E94" w:rsidP="00885DCC">
      <w:pPr>
        <w:tabs>
          <w:tab w:val="left" w:pos="4962"/>
        </w:tabs>
        <w:spacing w:before="120"/>
        <w:rPr>
          <w:sz w:val="16"/>
        </w:rPr>
      </w:pPr>
    </w:p>
    <w:p w:rsidR="00E34E94" w:rsidRDefault="00E34E94" w:rsidP="00885DCC">
      <w:pPr>
        <w:tabs>
          <w:tab w:val="left" w:pos="4962"/>
        </w:tabs>
        <w:spacing w:before="120"/>
        <w:rPr>
          <w:sz w:val="16"/>
        </w:rPr>
      </w:pPr>
    </w:p>
    <w:p w:rsidR="00E34E94" w:rsidRDefault="00E34E94" w:rsidP="00885DCC">
      <w:pPr>
        <w:tabs>
          <w:tab w:val="left" w:pos="4962"/>
        </w:tabs>
        <w:spacing w:before="120"/>
        <w:rPr>
          <w:sz w:val="16"/>
        </w:rPr>
      </w:pPr>
    </w:p>
    <w:p w:rsidR="007D052C" w:rsidRDefault="007D052C" w:rsidP="00885DCC">
      <w:pPr>
        <w:tabs>
          <w:tab w:val="left" w:pos="4962"/>
        </w:tabs>
        <w:spacing w:before="120"/>
        <w:rPr>
          <w:sz w:val="16"/>
        </w:rPr>
      </w:pPr>
    </w:p>
    <w:p w:rsidR="007D052C" w:rsidRDefault="007D052C" w:rsidP="00885DCC">
      <w:pPr>
        <w:tabs>
          <w:tab w:val="left" w:pos="4962"/>
        </w:tabs>
        <w:spacing w:before="120"/>
        <w:rPr>
          <w:sz w:val="16"/>
        </w:rPr>
      </w:pPr>
    </w:p>
    <w:p w:rsidR="00291AFE" w:rsidRDefault="00291AFE" w:rsidP="00885DCC">
      <w:pPr>
        <w:tabs>
          <w:tab w:val="left" w:pos="4962"/>
        </w:tabs>
        <w:spacing w:before="120"/>
        <w:rPr>
          <w:sz w:val="16"/>
        </w:rPr>
      </w:pPr>
    </w:p>
    <w:p w:rsidR="00291AFE" w:rsidRDefault="00291AFE" w:rsidP="00885DCC">
      <w:pPr>
        <w:tabs>
          <w:tab w:val="left" w:pos="4962"/>
        </w:tabs>
        <w:spacing w:before="120"/>
        <w:rPr>
          <w:sz w:val="16"/>
        </w:rPr>
      </w:pPr>
    </w:p>
    <w:p w:rsidR="00564B72" w:rsidRDefault="00564B72" w:rsidP="00885DCC">
      <w:pPr>
        <w:tabs>
          <w:tab w:val="left" w:pos="4962"/>
        </w:tabs>
        <w:spacing w:before="120"/>
        <w:rPr>
          <w:sz w:val="16"/>
        </w:rPr>
      </w:pPr>
    </w:p>
    <w:sectPr w:rsidR="00564B72" w:rsidSect="00C24E5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EBC"/>
    <w:multiLevelType w:val="hybridMultilevel"/>
    <w:tmpl w:val="176603F4"/>
    <w:lvl w:ilvl="0" w:tplc="026E85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152"/>
    <w:multiLevelType w:val="hybridMultilevel"/>
    <w:tmpl w:val="7C9E4F1E"/>
    <w:lvl w:ilvl="0" w:tplc="899CB400">
      <w:start w:val="1"/>
      <w:numFmt w:val="decimal"/>
      <w:lvlText w:val="%1)"/>
      <w:lvlJc w:val="left"/>
      <w:pPr>
        <w:ind w:left="900" w:hanging="54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1415"/>
    <w:rsid w:val="0001631F"/>
    <w:rsid w:val="000474E5"/>
    <w:rsid w:val="00073BE0"/>
    <w:rsid w:val="0008470F"/>
    <w:rsid w:val="000A4703"/>
    <w:rsid w:val="000B5214"/>
    <w:rsid w:val="000C4171"/>
    <w:rsid w:val="000F2B06"/>
    <w:rsid w:val="00106190"/>
    <w:rsid w:val="00112679"/>
    <w:rsid w:val="00142AEF"/>
    <w:rsid w:val="00155F44"/>
    <w:rsid w:val="00162AE8"/>
    <w:rsid w:val="0017267F"/>
    <w:rsid w:val="00175F51"/>
    <w:rsid w:val="0018467E"/>
    <w:rsid w:val="00186BDC"/>
    <w:rsid w:val="00193057"/>
    <w:rsid w:val="001A0CBF"/>
    <w:rsid w:val="001B6A1D"/>
    <w:rsid w:val="001B7198"/>
    <w:rsid w:val="001C06B7"/>
    <w:rsid w:val="001E087E"/>
    <w:rsid w:val="001E2D7B"/>
    <w:rsid w:val="001F6992"/>
    <w:rsid w:val="00246C5D"/>
    <w:rsid w:val="00251891"/>
    <w:rsid w:val="002639BD"/>
    <w:rsid w:val="00265883"/>
    <w:rsid w:val="002748FD"/>
    <w:rsid w:val="00291AFE"/>
    <w:rsid w:val="002A0D00"/>
    <w:rsid w:val="002C6F8D"/>
    <w:rsid w:val="002E7633"/>
    <w:rsid w:val="003135DF"/>
    <w:rsid w:val="00367BEB"/>
    <w:rsid w:val="0037172E"/>
    <w:rsid w:val="00373837"/>
    <w:rsid w:val="0037697A"/>
    <w:rsid w:val="003879FF"/>
    <w:rsid w:val="00390F9B"/>
    <w:rsid w:val="00395924"/>
    <w:rsid w:val="003A6A4F"/>
    <w:rsid w:val="003A7E61"/>
    <w:rsid w:val="003B2CC8"/>
    <w:rsid w:val="003B6D70"/>
    <w:rsid w:val="003E012A"/>
    <w:rsid w:val="003E46FE"/>
    <w:rsid w:val="00410160"/>
    <w:rsid w:val="00416249"/>
    <w:rsid w:val="004213DB"/>
    <w:rsid w:val="0042487E"/>
    <w:rsid w:val="004628BC"/>
    <w:rsid w:val="00463A5B"/>
    <w:rsid w:val="00490676"/>
    <w:rsid w:val="004A086E"/>
    <w:rsid w:val="004B42A8"/>
    <w:rsid w:val="004D351E"/>
    <w:rsid w:val="004D464D"/>
    <w:rsid w:val="004E0CCE"/>
    <w:rsid w:val="004E36AA"/>
    <w:rsid w:val="004F630F"/>
    <w:rsid w:val="004F78DC"/>
    <w:rsid w:val="00507F4E"/>
    <w:rsid w:val="00522D45"/>
    <w:rsid w:val="00523C39"/>
    <w:rsid w:val="0052474B"/>
    <w:rsid w:val="00532AB0"/>
    <w:rsid w:val="00540535"/>
    <w:rsid w:val="0055629F"/>
    <w:rsid w:val="00564B72"/>
    <w:rsid w:val="00580A5C"/>
    <w:rsid w:val="005938DA"/>
    <w:rsid w:val="00595239"/>
    <w:rsid w:val="005A72A5"/>
    <w:rsid w:val="005C52EC"/>
    <w:rsid w:val="005D4A05"/>
    <w:rsid w:val="005F189E"/>
    <w:rsid w:val="00604090"/>
    <w:rsid w:val="00611B55"/>
    <w:rsid w:val="006275FD"/>
    <w:rsid w:val="006449BF"/>
    <w:rsid w:val="006540C7"/>
    <w:rsid w:val="0067035A"/>
    <w:rsid w:val="0067088B"/>
    <w:rsid w:val="00677EE5"/>
    <w:rsid w:val="00681704"/>
    <w:rsid w:val="006861DC"/>
    <w:rsid w:val="006C5255"/>
    <w:rsid w:val="006D5EE7"/>
    <w:rsid w:val="006D78EB"/>
    <w:rsid w:val="006F1229"/>
    <w:rsid w:val="006F3F4A"/>
    <w:rsid w:val="00704E40"/>
    <w:rsid w:val="00715A3C"/>
    <w:rsid w:val="007464FA"/>
    <w:rsid w:val="00746A1A"/>
    <w:rsid w:val="00765095"/>
    <w:rsid w:val="007730B3"/>
    <w:rsid w:val="00787F59"/>
    <w:rsid w:val="00795957"/>
    <w:rsid w:val="007A4E03"/>
    <w:rsid w:val="007A66F1"/>
    <w:rsid w:val="007B3B7F"/>
    <w:rsid w:val="007C3465"/>
    <w:rsid w:val="007D052C"/>
    <w:rsid w:val="00846F6D"/>
    <w:rsid w:val="0086438A"/>
    <w:rsid w:val="008725AD"/>
    <w:rsid w:val="00872DC6"/>
    <w:rsid w:val="00875136"/>
    <w:rsid w:val="00875BB0"/>
    <w:rsid w:val="00876C7D"/>
    <w:rsid w:val="008826FC"/>
    <w:rsid w:val="00885DCC"/>
    <w:rsid w:val="008911F8"/>
    <w:rsid w:val="008B7A92"/>
    <w:rsid w:val="008E28E5"/>
    <w:rsid w:val="00900CB6"/>
    <w:rsid w:val="00900F0C"/>
    <w:rsid w:val="009017B7"/>
    <w:rsid w:val="00905B4B"/>
    <w:rsid w:val="00922AD4"/>
    <w:rsid w:val="00932896"/>
    <w:rsid w:val="0093790D"/>
    <w:rsid w:val="009401AB"/>
    <w:rsid w:val="00980B42"/>
    <w:rsid w:val="00993694"/>
    <w:rsid w:val="009B21F0"/>
    <w:rsid w:val="009C1744"/>
    <w:rsid w:val="009C41F6"/>
    <w:rsid w:val="009D2C81"/>
    <w:rsid w:val="009E2846"/>
    <w:rsid w:val="009F0571"/>
    <w:rsid w:val="00A30C62"/>
    <w:rsid w:val="00A32BF8"/>
    <w:rsid w:val="00A34CA1"/>
    <w:rsid w:val="00A41C35"/>
    <w:rsid w:val="00A61B2B"/>
    <w:rsid w:val="00A64708"/>
    <w:rsid w:val="00A65480"/>
    <w:rsid w:val="00A85ABC"/>
    <w:rsid w:val="00A8742D"/>
    <w:rsid w:val="00A90776"/>
    <w:rsid w:val="00A97DF5"/>
    <w:rsid w:val="00AA0B08"/>
    <w:rsid w:val="00AA30B4"/>
    <w:rsid w:val="00AF1F5C"/>
    <w:rsid w:val="00AF28EC"/>
    <w:rsid w:val="00B00125"/>
    <w:rsid w:val="00B15106"/>
    <w:rsid w:val="00B64CD7"/>
    <w:rsid w:val="00B7576B"/>
    <w:rsid w:val="00B9614C"/>
    <w:rsid w:val="00B9653A"/>
    <w:rsid w:val="00BB7327"/>
    <w:rsid w:val="00BC113F"/>
    <w:rsid w:val="00BD66B8"/>
    <w:rsid w:val="00C24E58"/>
    <w:rsid w:val="00C33231"/>
    <w:rsid w:val="00C407EE"/>
    <w:rsid w:val="00C43A8E"/>
    <w:rsid w:val="00C447F5"/>
    <w:rsid w:val="00C45A77"/>
    <w:rsid w:val="00C5755F"/>
    <w:rsid w:val="00C70B12"/>
    <w:rsid w:val="00C7361D"/>
    <w:rsid w:val="00C767CD"/>
    <w:rsid w:val="00C9304F"/>
    <w:rsid w:val="00CB0C87"/>
    <w:rsid w:val="00CC5B4E"/>
    <w:rsid w:val="00D02069"/>
    <w:rsid w:val="00D31C1F"/>
    <w:rsid w:val="00D64D43"/>
    <w:rsid w:val="00D64E7D"/>
    <w:rsid w:val="00D76503"/>
    <w:rsid w:val="00D90B50"/>
    <w:rsid w:val="00DA355B"/>
    <w:rsid w:val="00DA7CA8"/>
    <w:rsid w:val="00DC67E9"/>
    <w:rsid w:val="00DD2C98"/>
    <w:rsid w:val="00DD2F5A"/>
    <w:rsid w:val="00DD5E60"/>
    <w:rsid w:val="00DE00D9"/>
    <w:rsid w:val="00E07B88"/>
    <w:rsid w:val="00E15BD8"/>
    <w:rsid w:val="00E212E5"/>
    <w:rsid w:val="00E34E94"/>
    <w:rsid w:val="00E37962"/>
    <w:rsid w:val="00E40877"/>
    <w:rsid w:val="00E410F2"/>
    <w:rsid w:val="00E51618"/>
    <w:rsid w:val="00E74F4F"/>
    <w:rsid w:val="00E9652F"/>
    <w:rsid w:val="00EA7D78"/>
    <w:rsid w:val="00EB1137"/>
    <w:rsid w:val="00EE2CB7"/>
    <w:rsid w:val="00EF67DD"/>
    <w:rsid w:val="00F230D9"/>
    <w:rsid w:val="00F33072"/>
    <w:rsid w:val="00F7689E"/>
    <w:rsid w:val="00F81E0D"/>
    <w:rsid w:val="00F87AC6"/>
    <w:rsid w:val="00F94DD4"/>
    <w:rsid w:val="00FA062C"/>
    <w:rsid w:val="00FA086C"/>
    <w:rsid w:val="00FC0B46"/>
    <w:rsid w:val="00FD7A69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B4"/>
    <w:rPr>
      <w:sz w:val="24"/>
      <w:szCs w:val="24"/>
    </w:rPr>
  </w:style>
  <w:style w:type="paragraph" w:styleId="1">
    <w:name w:val="heading 1"/>
    <w:basedOn w:val="a"/>
    <w:next w:val="a"/>
    <w:qFormat/>
    <w:rsid w:val="00AA30B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A30B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A30B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A30B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semiHidden/>
    <w:rsid w:val="00AA30B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customStyle="1" w:styleId="xl68">
    <w:name w:val="xl68"/>
    <w:basedOn w:val="a"/>
    <w:rsid w:val="009936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650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09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F768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7689E"/>
  </w:style>
  <w:style w:type="paragraph" w:styleId="af">
    <w:name w:val="List Paragraph"/>
    <w:basedOn w:val="a"/>
    <w:uiPriority w:val="34"/>
    <w:qFormat/>
    <w:rsid w:val="0086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00F3-B0CD-49C1-BDA4-EA40F3B0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4</cp:revision>
  <cp:lastPrinted>2022-01-18T07:53:00Z</cp:lastPrinted>
  <dcterms:created xsi:type="dcterms:W3CDTF">2022-06-17T05:41:00Z</dcterms:created>
  <dcterms:modified xsi:type="dcterms:W3CDTF">2023-06-07T10:56:00Z</dcterms:modified>
</cp:coreProperties>
</file>